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402.03: Abuse of Students by School District Employees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Physical or sexual abuse of students, including inappropriate and intentional sexual behavior, by employees will not be tolerated.  The definition of employees for the purpose of this policy includes not only those who work for pay but also those who are volunteers of the Tri-County school district under the direction and control of the school district. Employees found in violation of this policy will be subject to disciplinary action up to and including discharge.</w:t>
        <w:br w:type="textWrapping"/>
        <w:br w:type="textWrapping"/>
        <w:t xml:space="preserve">The Tri-County school district will respond promptly to allegations of abuse of students by school district employees by investigating or arranging for the investigation of an allegation.  The processing of a complaint or allegation will be handled confidentially to the maximum extent possible.  Employees are required to assist in the investigation when requested to provide information and to maintain the confidentiality of the reporting and investigation process.</w:t>
        <w:br w:type="textWrapping"/>
        <w:br w:type="textWrapping"/>
        <w:t xml:space="preserve">The Tri-County school district has appointed a Level I investigator and alternate Level I investigator.  The school district has also arranged for a trained, experienced professional to serve as the Level II investigator.  The Level I investigator and alternate will be provided training in the conducting of an investigation at the expense of the school district.  The names of the investigators are listed in the student handbook published annually in the local newspaper and posted in all school facilities.</w:t>
        <w:br w:type="textWrapping"/>
        <w:br w:type="textWrapping"/>
        <w:t xml:space="preserve">The superintendent is responsible for drafting administrative regulations to implement this policy.</w:t>
        <w:br w:type="textWrapping"/>
      </w:r>
      <w:r w:rsidDel="00000000" w:rsidR="00000000" w:rsidRPr="00000000">
        <w:rPr>
          <w:rFonts w:ascii="Lato" w:cs="Lato" w:eastAsia="Lato" w:hAnsi="Lato"/>
          <w:rtl w:val="0"/>
        </w:rPr>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232.67, .70, .73, .75; 235A; 272A; 280.17; 709; 728.12(1).</w:t>
              <w:br w:type="textWrapping"/>
              <w:t xml:space="preserve">281 I.A.C. 12.3(6), 102; 103.</w:t>
              <w:br w:type="textWrapping"/>
              <w:t xml:space="preserve">441 I.A.C. 155; 175.</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232</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Juvenile Justice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235A</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Child Abuse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272A</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Interstate Agreement of Qualification of Ed Personnel</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w:cs="Lato" w:eastAsia="Lato" w:hAnsi="Lato"/>
                <w:rtl w:val="0"/>
              </w:rPr>
              <w:t xml:space="preserve">Iowa Code  § 280.17</w:t>
            </w:r>
            <w:r w:rsidDel="00000000" w:rsidR="00000000" w:rsidRPr="00000000">
              <w:rPr>
                <w:rtl w:val="0"/>
              </w:rPr>
            </w:r>
          </w:p>
        </w:tc>
        <w:tc>
          <w:tcPr>
            <w:tcMar>
              <w:top w:w="0.0" w:type="dxa"/>
              <w:bottom w:w="0.0" w:type="dxa"/>
            </w:tcMar>
          </w:tcPr>
          <w:p w:rsidR="00000000" w:rsidDel="00000000" w:rsidP="00000000" w:rsidRDefault="00000000" w:rsidRPr="00000000" w14:paraId="00000015">
            <w:pPr>
              <w:rPr/>
            </w:pPr>
            <w:hyperlink r:id="rId10">
              <w:r w:rsidDel="00000000" w:rsidR="00000000" w:rsidRPr="00000000">
                <w:rPr>
                  <w:rFonts w:ascii="Lato" w:cs="Lato" w:eastAsia="Lato" w:hAnsi="Lato"/>
                  <w:color w:val="0563c1"/>
                  <w:u w:val="single"/>
                  <w:rtl w:val="0"/>
                </w:rPr>
                <w:t xml:space="preserve">Uniform School Requirements - Child abuse reporting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Iowa Code  § 709</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1">
              <w:r w:rsidDel="00000000" w:rsidR="00000000" w:rsidRPr="00000000">
                <w:rPr>
                  <w:rFonts w:ascii="Lato" w:cs="Lato" w:eastAsia="Lato" w:hAnsi="Lato"/>
                  <w:color w:val="0563c1"/>
                  <w:u w:val="single"/>
                  <w:rtl w:val="0"/>
                </w:rPr>
                <w:t xml:space="preserve">Sexual Abuse</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Iowa Code  § 728.12</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2">
              <w:r w:rsidDel="00000000" w:rsidR="00000000" w:rsidRPr="00000000">
                <w:rPr>
                  <w:rFonts w:ascii="Lato" w:cs="Lato" w:eastAsia="Lato" w:hAnsi="Lato"/>
                  <w:color w:val="0563c1"/>
                  <w:u w:val="single"/>
                  <w:rtl w:val="0"/>
                </w:rPr>
                <w:t xml:space="preserve">Sexual Exploitation of a Minor</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281 I.A.C. 102</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3">
              <w:r w:rsidDel="00000000" w:rsidR="00000000" w:rsidRPr="00000000">
                <w:rPr>
                  <w:rFonts w:ascii="Lato" w:cs="Lato" w:eastAsia="Lato" w:hAnsi="Lato"/>
                  <w:color w:val="0563c1"/>
                  <w:u w:val="single"/>
                  <w:rtl w:val="0"/>
                </w:rPr>
                <w:t xml:space="preserve">Abuse of Students by School Employees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281 I.A.C. 103</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4">
              <w:r w:rsidDel="00000000" w:rsidR="00000000" w:rsidRPr="00000000">
                <w:rPr>
                  <w:rFonts w:ascii="Lato" w:cs="Lato" w:eastAsia="Lato" w:hAnsi="Lato"/>
                  <w:color w:val="0563c1"/>
                  <w:u w:val="single"/>
                  <w:rtl w:val="0"/>
                </w:rPr>
                <w:t xml:space="preserve">Corporal Punishment, Physical Restraint, Seclusion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0">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21">
            <w:pPr>
              <w:rPr/>
            </w:pPr>
            <w:hyperlink r:id="rId15">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w:cs="Lato" w:eastAsia="Lato" w:hAnsi="Lato"/>
                <w:rtl w:val="0"/>
              </w:rPr>
              <w:t xml:space="preserve">441 I.A.C. 155</w:t>
            </w:r>
            <w:r w:rsidDel="00000000" w:rsidR="00000000" w:rsidRPr="00000000">
              <w:rPr>
                <w:rtl w:val="0"/>
              </w:rPr>
            </w:r>
          </w:p>
        </w:tc>
        <w:tc>
          <w:tcPr>
            <w:tcMar>
              <w:top w:w="0.0" w:type="dxa"/>
              <w:bottom w:w="0.0" w:type="dxa"/>
            </w:tcMar>
          </w:tcPr>
          <w:p w:rsidR="00000000" w:rsidDel="00000000" w:rsidP="00000000" w:rsidRDefault="00000000" w:rsidRPr="00000000" w14:paraId="00000023">
            <w:pPr>
              <w:rPr/>
            </w:pPr>
            <w:hyperlink r:id="rId16">
              <w:r w:rsidDel="00000000" w:rsidR="00000000" w:rsidRPr="00000000">
                <w:rPr>
                  <w:rFonts w:ascii="Lato" w:cs="Lato" w:eastAsia="Lato" w:hAnsi="Lato"/>
                  <w:color w:val="0563c1"/>
                  <w:u w:val="single"/>
                  <w:rtl w:val="0"/>
                </w:rPr>
                <w:t xml:space="preserve">Human Services - Child Abuse Prevention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4">
            <w:pPr>
              <w:spacing w:after="0" w:lineRule="auto"/>
              <w:rPr/>
            </w:pPr>
            <w:r w:rsidDel="00000000" w:rsidR="00000000" w:rsidRPr="00000000">
              <w:rPr>
                <w:rFonts w:ascii="Lato" w:cs="Lato" w:eastAsia="Lato" w:hAnsi="Lato"/>
                <w:rtl w:val="0"/>
              </w:rPr>
              <w:t xml:space="preserve">441 I.A.C. 175</w:t>
            </w:r>
            <w:r w:rsidDel="00000000" w:rsidR="00000000" w:rsidRPr="00000000">
              <w:rPr>
                <w:rtl w:val="0"/>
              </w:rPr>
            </w:r>
          </w:p>
        </w:tc>
        <w:tc>
          <w:tcPr>
            <w:tcMar>
              <w:top w:w="0.0" w:type="dxa"/>
              <w:bottom w:w="0.0" w:type="dxa"/>
            </w:tcMar>
          </w:tcPr>
          <w:p w:rsidR="00000000" w:rsidDel="00000000" w:rsidP="00000000" w:rsidRDefault="00000000" w:rsidRPr="00000000" w14:paraId="00000025">
            <w:pPr>
              <w:rPr/>
            </w:pPr>
            <w:hyperlink r:id="rId17">
              <w:r w:rsidDel="00000000" w:rsidR="00000000" w:rsidRPr="00000000">
                <w:rPr>
                  <w:rFonts w:ascii="Lato" w:cs="Lato" w:eastAsia="Lato" w:hAnsi="Lato"/>
                  <w:color w:val="0563c1"/>
                  <w:u w:val="single"/>
                  <w:rtl w:val="0"/>
                </w:rPr>
                <w:t xml:space="preserve">Human Services - Abuse of Children</w:t>
              </w:r>
            </w:hyperlink>
            <w:r w:rsidDel="00000000" w:rsidR="00000000" w:rsidRPr="00000000">
              <w:rPr>
                <w:rtl w:val="0"/>
              </w:rPr>
            </w:r>
          </w:p>
        </w:tc>
      </w:tr>
    </w:tbl>
    <w:p w:rsidR="00000000" w:rsidDel="00000000" w:rsidP="00000000" w:rsidRDefault="00000000" w:rsidRPr="00000000" w14:paraId="00000026">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9">
            <w:pPr>
              <w:spacing w:after="0" w:lineRule="auto"/>
              <w:rPr/>
            </w:pPr>
            <w:r w:rsidDel="00000000" w:rsidR="00000000" w:rsidRPr="00000000">
              <w:rPr>
                <w:rFonts w:ascii="Lato" w:cs="Lato" w:eastAsia="Lato" w:hAnsi="Lato"/>
                <w:rtl w:val="0"/>
              </w:rPr>
              <w:t xml:space="preserve">104</w:t>
            </w:r>
            <w:r w:rsidDel="00000000" w:rsidR="00000000" w:rsidRPr="00000000">
              <w:rPr>
                <w:rtl w:val="0"/>
              </w:rPr>
            </w:r>
          </w:p>
        </w:tc>
        <w:tc>
          <w:tcPr>
            <w:tcMar>
              <w:top w:w="0.0" w:type="dxa"/>
              <w:bottom w:w="0.0" w:type="dxa"/>
            </w:tcMar>
          </w:tcPr>
          <w:p w:rsidR="00000000" w:rsidDel="00000000" w:rsidP="00000000" w:rsidRDefault="00000000" w:rsidRPr="00000000" w14:paraId="0000002A">
            <w:pPr>
              <w:rPr/>
            </w:pPr>
            <w:hyperlink r:id="rId18">
              <w:r w:rsidDel="00000000" w:rsidR="00000000" w:rsidRPr="00000000">
                <w:rPr>
                  <w:rFonts w:ascii="Lato" w:cs="Lato" w:eastAsia="Lato" w:hAnsi="Lato"/>
                  <w:color w:val="0563c1"/>
                  <w:u w:val="single"/>
                  <w:rtl w:val="0"/>
                </w:rPr>
                <w:t xml:space="preserve">Anti-Bullying/Harassment Policy</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B">
            <w:pPr>
              <w:spacing w:after="0" w:lineRule="auto"/>
              <w:rPr/>
            </w:pPr>
            <w:r w:rsidDel="00000000" w:rsidR="00000000" w:rsidRPr="00000000">
              <w:rPr>
                <w:rFonts w:ascii="Lato" w:cs="Lato" w:eastAsia="Lato" w:hAnsi="Lato"/>
                <w:rtl w:val="0"/>
              </w:rPr>
              <w:t xml:space="preserve">104-R(1)</w:t>
            </w:r>
            <w:r w:rsidDel="00000000" w:rsidR="00000000" w:rsidRPr="00000000">
              <w:rPr>
                <w:rtl w:val="0"/>
              </w:rPr>
            </w:r>
          </w:p>
        </w:tc>
        <w:tc>
          <w:tcPr>
            <w:tcMar>
              <w:top w:w="0.0" w:type="dxa"/>
              <w:bottom w:w="0.0" w:type="dxa"/>
            </w:tcMar>
          </w:tcPr>
          <w:p w:rsidR="00000000" w:rsidDel="00000000" w:rsidP="00000000" w:rsidRDefault="00000000" w:rsidRPr="00000000" w14:paraId="0000002C">
            <w:pPr>
              <w:rPr/>
            </w:pPr>
            <w:hyperlink r:id="rId19">
              <w:r w:rsidDel="00000000" w:rsidR="00000000" w:rsidRPr="00000000">
                <w:rPr>
                  <w:rFonts w:ascii="Lato" w:cs="Lato" w:eastAsia="Lato" w:hAnsi="Lato"/>
                  <w:color w:val="0563c1"/>
                  <w:u w:val="single"/>
                  <w:rtl w:val="0"/>
                </w:rPr>
                <w:t xml:space="preserve">Anti-Bullying/Harassment Policy - Investigation Procedures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D">
            <w:pPr>
              <w:spacing w:after="0" w:lineRule="auto"/>
              <w:rPr/>
            </w:pPr>
            <w:r w:rsidDel="00000000" w:rsidR="00000000" w:rsidRPr="00000000">
              <w:rPr>
                <w:rFonts w:ascii="Lato" w:cs="Lato" w:eastAsia="Lato" w:hAnsi="Lato"/>
                <w:rtl w:val="0"/>
              </w:rPr>
              <w:t xml:space="preserve">104-E(1)</w:t>
            </w:r>
            <w:r w:rsidDel="00000000" w:rsidR="00000000" w:rsidRPr="00000000">
              <w:rPr>
                <w:rtl w:val="0"/>
              </w:rPr>
            </w:r>
          </w:p>
        </w:tc>
        <w:tc>
          <w:tcPr>
            <w:tcMar>
              <w:top w:w="0.0" w:type="dxa"/>
              <w:bottom w:w="0.0" w:type="dxa"/>
            </w:tcMar>
          </w:tcPr>
          <w:p w:rsidR="00000000" w:rsidDel="00000000" w:rsidP="00000000" w:rsidRDefault="00000000" w:rsidRPr="00000000" w14:paraId="0000002E">
            <w:pPr>
              <w:rPr/>
            </w:pPr>
            <w:hyperlink r:id="rId20">
              <w:r w:rsidDel="00000000" w:rsidR="00000000" w:rsidRPr="00000000">
                <w:rPr>
                  <w:rFonts w:ascii="Lato" w:cs="Lato" w:eastAsia="Lato" w:hAnsi="Lato"/>
                  <w:color w:val="0563c1"/>
                  <w:u w:val="single"/>
                  <w:rtl w:val="0"/>
                </w:rPr>
                <w:t xml:space="preserve">Anti-Bullying/Harassment Policy -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F">
            <w:pPr>
              <w:spacing w:after="0" w:lineRule="auto"/>
              <w:rPr/>
            </w:pPr>
            <w:r w:rsidDel="00000000" w:rsidR="00000000" w:rsidRPr="00000000">
              <w:rPr>
                <w:rFonts w:ascii="Lato" w:cs="Lato" w:eastAsia="Lato" w:hAnsi="Lato"/>
                <w:rtl w:val="0"/>
              </w:rPr>
              <w:t xml:space="preserve">104-E(2)</w:t>
            </w:r>
            <w:r w:rsidDel="00000000" w:rsidR="00000000" w:rsidRPr="00000000">
              <w:rPr>
                <w:rtl w:val="0"/>
              </w:rPr>
            </w:r>
          </w:p>
        </w:tc>
        <w:tc>
          <w:tcPr>
            <w:tcMar>
              <w:top w:w="0.0" w:type="dxa"/>
              <w:bottom w:w="0.0" w:type="dxa"/>
            </w:tcMar>
          </w:tcPr>
          <w:p w:rsidR="00000000" w:rsidDel="00000000" w:rsidP="00000000" w:rsidRDefault="00000000" w:rsidRPr="00000000" w14:paraId="00000030">
            <w:pPr>
              <w:rPr/>
            </w:pPr>
            <w:hyperlink r:id="rId21">
              <w:r w:rsidDel="00000000" w:rsidR="00000000" w:rsidRPr="00000000">
                <w:rPr>
                  <w:rFonts w:ascii="Lato" w:cs="Lato" w:eastAsia="Lato" w:hAnsi="Lato"/>
                  <w:color w:val="0563c1"/>
                  <w:u w:val="single"/>
                  <w:rtl w:val="0"/>
                </w:rPr>
                <w:t xml:space="preserve">Anti-Bullying/Harassment Policy - Witness Disclosure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1">
            <w:pPr>
              <w:spacing w:after="0" w:lineRule="auto"/>
              <w:rPr/>
            </w:pPr>
            <w:r w:rsidDel="00000000" w:rsidR="00000000" w:rsidRPr="00000000">
              <w:rPr>
                <w:rFonts w:ascii="Lato" w:cs="Lato" w:eastAsia="Lato" w:hAnsi="Lato"/>
                <w:rtl w:val="0"/>
              </w:rPr>
              <w:t xml:space="preserve">104-E(3)</w:t>
            </w:r>
            <w:r w:rsidDel="00000000" w:rsidR="00000000" w:rsidRPr="00000000">
              <w:rPr>
                <w:rtl w:val="0"/>
              </w:rPr>
            </w:r>
          </w:p>
        </w:tc>
        <w:tc>
          <w:tcPr>
            <w:tcMar>
              <w:top w:w="0.0" w:type="dxa"/>
              <w:bottom w:w="0.0" w:type="dxa"/>
            </w:tcMar>
          </w:tcPr>
          <w:p w:rsidR="00000000" w:rsidDel="00000000" w:rsidP="00000000" w:rsidRDefault="00000000" w:rsidRPr="00000000" w14:paraId="00000032">
            <w:pPr>
              <w:rPr/>
            </w:pPr>
            <w:hyperlink r:id="rId22">
              <w:r w:rsidDel="00000000" w:rsidR="00000000" w:rsidRPr="00000000">
                <w:rPr>
                  <w:rFonts w:ascii="Lato" w:cs="Lato" w:eastAsia="Lato" w:hAnsi="Lato"/>
                  <w:color w:val="0563c1"/>
                  <w:u w:val="single"/>
                  <w:rtl w:val="0"/>
                </w:rPr>
                <w:t xml:space="preserve">Anti-Bullying/Harassment Policy - Disposition of Complaint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3">
            <w:pPr>
              <w:spacing w:after="0" w:lineRule="auto"/>
              <w:rPr/>
            </w:pPr>
            <w:r w:rsidDel="00000000" w:rsidR="00000000" w:rsidRPr="00000000">
              <w:rPr>
                <w:rFonts w:ascii="Lato" w:cs="Lato" w:eastAsia="Lato" w:hAnsi="Lato"/>
                <w:rtl w:val="0"/>
              </w:rPr>
              <w:t xml:space="preserve">401.06</w:t>
            </w:r>
            <w:r w:rsidDel="00000000" w:rsidR="00000000" w:rsidRPr="00000000">
              <w:rPr>
                <w:rtl w:val="0"/>
              </w:rPr>
            </w:r>
          </w:p>
        </w:tc>
        <w:tc>
          <w:tcPr>
            <w:tcMar>
              <w:top w:w="0.0" w:type="dxa"/>
              <w:bottom w:w="0.0" w:type="dxa"/>
            </w:tcMar>
          </w:tcPr>
          <w:p w:rsidR="00000000" w:rsidDel="00000000" w:rsidP="00000000" w:rsidRDefault="00000000" w:rsidRPr="00000000" w14:paraId="00000034">
            <w:pPr>
              <w:rPr/>
            </w:pPr>
            <w:hyperlink r:id="rId23">
              <w:r w:rsidDel="00000000" w:rsidR="00000000" w:rsidRPr="00000000">
                <w:rPr>
                  <w:rFonts w:ascii="Lato" w:cs="Lato" w:eastAsia="Lato" w:hAnsi="Lato"/>
                  <w:color w:val="0563c1"/>
                  <w:u w:val="single"/>
                  <w:rtl w:val="0"/>
                </w:rPr>
                <w:t xml:space="preserve">Limitations to Employment References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5">
            <w:pPr>
              <w:spacing w:after="0" w:lineRule="auto"/>
              <w:rPr/>
            </w:pPr>
            <w:r w:rsidDel="00000000" w:rsidR="00000000" w:rsidRPr="00000000">
              <w:rPr>
                <w:rFonts w:ascii="Lato" w:cs="Lato" w:eastAsia="Lato" w:hAnsi="Lato"/>
                <w:rtl w:val="0"/>
              </w:rPr>
              <w:t xml:space="preserve">402.02</w:t>
            </w:r>
            <w:r w:rsidDel="00000000" w:rsidR="00000000" w:rsidRPr="00000000">
              <w:rPr>
                <w:rtl w:val="0"/>
              </w:rPr>
            </w:r>
          </w:p>
        </w:tc>
        <w:tc>
          <w:tcPr>
            <w:tcMar>
              <w:top w:w="0.0" w:type="dxa"/>
              <w:bottom w:w="0.0" w:type="dxa"/>
            </w:tcMar>
          </w:tcPr>
          <w:p w:rsidR="00000000" w:rsidDel="00000000" w:rsidP="00000000" w:rsidRDefault="00000000" w:rsidRPr="00000000" w14:paraId="00000036">
            <w:pPr>
              <w:rPr/>
            </w:pPr>
            <w:hyperlink r:id="rId24">
              <w:r w:rsidDel="00000000" w:rsidR="00000000" w:rsidRPr="00000000">
                <w:rPr>
                  <w:rFonts w:ascii="Lato" w:cs="Lato" w:eastAsia="Lato" w:hAnsi="Lato"/>
                  <w:color w:val="0563c1"/>
                  <w:u w:val="single"/>
                  <w:rtl w:val="0"/>
                </w:rPr>
                <w:t xml:space="preserve">Child Abuse Reporting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7">
            <w:pPr>
              <w:spacing w:after="0" w:lineRule="auto"/>
              <w:rPr/>
            </w:pPr>
            <w:r w:rsidDel="00000000" w:rsidR="00000000" w:rsidRPr="00000000">
              <w:rPr>
                <w:rFonts w:ascii="Lato" w:cs="Lato" w:eastAsia="Lato" w:hAnsi="Lato"/>
                <w:rtl w:val="0"/>
              </w:rPr>
              <w:t xml:space="preserve">503.05</w:t>
            </w:r>
            <w:r w:rsidDel="00000000" w:rsidR="00000000" w:rsidRPr="00000000">
              <w:rPr>
                <w:rtl w:val="0"/>
              </w:rPr>
            </w:r>
          </w:p>
        </w:tc>
        <w:tc>
          <w:tcPr>
            <w:tcMar>
              <w:top w:w="0.0" w:type="dxa"/>
              <w:bottom w:w="0.0" w:type="dxa"/>
            </w:tcMar>
          </w:tcPr>
          <w:p w:rsidR="00000000" w:rsidDel="00000000" w:rsidP="00000000" w:rsidRDefault="00000000" w:rsidRPr="00000000" w14:paraId="00000038">
            <w:pPr>
              <w:rPr/>
            </w:pPr>
            <w:hyperlink r:id="rId25">
              <w:r w:rsidDel="00000000" w:rsidR="00000000" w:rsidRPr="00000000">
                <w:rPr>
                  <w:rFonts w:ascii="Lato" w:cs="Lato" w:eastAsia="Lato" w:hAnsi="Lato"/>
                  <w:color w:val="0563c1"/>
                  <w:u w:val="single"/>
                  <w:rtl w:val="0"/>
                </w:rPr>
                <w:t xml:space="preserve">Corporal Punishment, Mechanical Restraint and Prone Restraint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9">
            <w:pPr>
              <w:spacing w:after="0" w:lineRule="auto"/>
              <w:rPr/>
            </w:pPr>
            <w:r w:rsidDel="00000000" w:rsidR="00000000" w:rsidRPr="00000000">
              <w:rPr>
                <w:rFonts w:ascii="Lato" w:cs="Lato" w:eastAsia="Lato" w:hAnsi="Lato"/>
                <w:rtl w:val="0"/>
              </w:rPr>
              <w:t xml:space="preserve">503.06</w:t>
            </w:r>
            <w:r w:rsidDel="00000000" w:rsidR="00000000" w:rsidRPr="00000000">
              <w:rPr>
                <w:rtl w:val="0"/>
              </w:rPr>
            </w:r>
          </w:p>
        </w:tc>
        <w:tc>
          <w:tcPr>
            <w:tcMar>
              <w:top w:w="0.0" w:type="dxa"/>
              <w:bottom w:w="0.0" w:type="dxa"/>
            </w:tcMar>
          </w:tcPr>
          <w:p w:rsidR="00000000" w:rsidDel="00000000" w:rsidP="00000000" w:rsidRDefault="00000000" w:rsidRPr="00000000" w14:paraId="0000003A">
            <w:pPr>
              <w:rPr/>
            </w:pPr>
            <w:hyperlink r:id="rId26">
              <w:r w:rsidDel="00000000" w:rsidR="00000000" w:rsidRPr="00000000">
                <w:rPr>
                  <w:rFonts w:ascii="Lato" w:cs="Lato" w:eastAsia="Lato" w:hAnsi="Lato"/>
                  <w:color w:val="0563c1"/>
                  <w:u w:val="single"/>
                  <w:rtl w:val="0"/>
                </w:rPr>
                <w:t xml:space="preserve">Physical Restraint and Seclusion of Students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B">
            <w:pPr>
              <w:spacing w:after="0" w:lineRule="auto"/>
              <w:rPr/>
            </w:pPr>
            <w:r w:rsidDel="00000000" w:rsidR="00000000" w:rsidRPr="00000000">
              <w:rPr>
                <w:rFonts w:ascii="Lato" w:cs="Lato" w:eastAsia="Lato" w:hAnsi="Lato"/>
                <w:rtl w:val="0"/>
              </w:rPr>
              <w:t xml:space="preserve">503.06-R(1)</w:t>
            </w:r>
            <w:r w:rsidDel="00000000" w:rsidR="00000000" w:rsidRPr="00000000">
              <w:rPr>
                <w:rtl w:val="0"/>
              </w:rPr>
            </w:r>
          </w:p>
        </w:tc>
        <w:tc>
          <w:tcPr>
            <w:tcMar>
              <w:top w:w="0.0" w:type="dxa"/>
              <w:bottom w:w="0.0" w:type="dxa"/>
            </w:tcMar>
          </w:tcPr>
          <w:p w:rsidR="00000000" w:rsidDel="00000000" w:rsidP="00000000" w:rsidRDefault="00000000" w:rsidRPr="00000000" w14:paraId="0000003C">
            <w:pPr>
              <w:rPr/>
            </w:pPr>
            <w:hyperlink r:id="rId27">
              <w:r w:rsidDel="00000000" w:rsidR="00000000" w:rsidRPr="00000000">
                <w:rPr>
                  <w:rFonts w:ascii="Lato" w:cs="Lato" w:eastAsia="Lato" w:hAnsi="Lato"/>
                  <w:color w:val="0563c1"/>
                  <w:u w:val="single"/>
                  <w:rtl w:val="0"/>
                </w:rPr>
                <w:t xml:space="preserve">Physical Restraint and Seclusion of Students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D">
            <w:pPr>
              <w:spacing w:after="0" w:lineRule="auto"/>
              <w:rPr/>
            </w:pPr>
            <w:r w:rsidDel="00000000" w:rsidR="00000000" w:rsidRPr="00000000">
              <w:rPr>
                <w:rFonts w:ascii="Lato" w:cs="Lato" w:eastAsia="Lato" w:hAnsi="Lato"/>
                <w:rtl w:val="0"/>
              </w:rPr>
              <w:t xml:space="preserve">503.06-E(1)</w:t>
            </w:r>
            <w:r w:rsidDel="00000000" w:rsidR="00000000" w:rsidRPr="00000000">
              <w:rPr>
                <w:rtl w:val="0"/>
              </w:rPr>
            </w:r>
          </w:p>
        </w:tc>
        <w:tc>
          <w:tcPr>
            <w:tcMar>
              <w:top w:w="0.0" w:type="dxa"/>
              <w:bottom w:w="0.0" w:type="dxa"/>
            </w:tcMar>
          </w:tcPr>
          <w:p w:rsidR="00000000" w:rsidDel="00000000" w:rsidP="00000000" w:rsidRDefault="00000000" w:rsidRPr="00000000" w14:paraId="0000003E">
            <w:pPr>
              <w:rPr/>
            </w:pPr>
            <w:hyperlink r:id="rId28">
              <w:r w:rsidDel="00000000" w:rsidR="00000000" w:rsidRPr="00000000">
                <w:rPr>
                  <w:rFonts w:ascii="Lato" w:cs="Lato" w:eastAsia="Lato" w:hAnsi="Lato"/>
                  <w:color w:val="0563c1"/>
                  <w:u w:val="single"/>
                  <w:rtl w:val="0"/>
                </w:rPr>
                <w:t xml:space="preserve">Physical Restraint and Seclusion of Students - Documentation Form</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3F">
            <w:pPr>
              <w:spacing w:after="0" w:lineRule="auto"/>
              <w:rPr/>
            </w:pPr>
            <w:r w:rsidDel="00000000" w:rsidR="00000000" w:rsidRPr="00000000">
              <w:rPr>
                <w:rFonts w:ascii="Lato" w:cs="Lato" w:eastAsia="Lato" w:hAnsi="Lato"/>
                <w:rtl w:val="0"/>
              </w:rPr>
              <w:t xml:space="preserve">503.06-E(2)</w:t>
            </w:r>
            <w:r w:rsidDel="00000000" w:rsidR="00000000" w:rsidRPr="00000000">
              <w:rPr>
                <w:rtl w:val="0"/>
              </w:rPr>
            </w:r>
          </w:p>
        </w:tc>
        <w:tc>
          <w:tcPr>
            <w:tcMar>
              <w:top w:w="0.0" w:type="dxa"/>
              <w:bottom w:w="0.0" w:type="dxa"/>
            </w:tcMar>
          </w:tcPr>
          <w:p w:rsidR="00000000" w:rsidDel="00000000" w:rsidP="00000000" w:rsidRDefault="00000000" w:rsidRPr="00000000" w14:paraId="00000040">
            <w:pPr>
              <w:rPr/>
            </w:pPr>
            <w:hyperlink r:id="rId29">
              <w:r w:rsidDel="00000000" w:rsidR="00000000" w:rsidRPr="00000000">
                <w:rPr>
                  <w:rFonts w:ascii="Lato" w:cs="Lato" w:eastAsia="Lato" w:hAnsi="Lato"/>
                  <w:color w:val="0563c1"/>
                  <w:u w:val="single"/>
                  <w:rtl w:val="0"/>
                </w:rPr>
                <w:t xml:space="preserve">Physical Restraint and Seclusion of Students - Debriefing Letter to Guardian of student Involved in an Occurrence Where Physical Restraint or Seclusion was Used</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41">
            <w:pPr>
              <w:spacing w:after="0" w:lineRule="auto"/>
              <w:rPr/>
            </w:pPr>
            <w:r w:rsidDel="00000000" w:rsidR="00000000" w:rsidRPr="00000000">
              <w:rPr>
                <w:rFonts w:ascii="Lato" w:cs="Lato" w:eastAsia="Lato" w:hAnsi="Lato"/>
                <w:rtl w:val="0"/>
              </w:rPr>
              <w:t xml:space="preserve">503.06-E(3)</w:t>
            </w:r>
            <w:r w:rsidDel="00000000" w:rsidR="00000000" w:rsidRPr="00000000">
              <w:rPr>
                <w:rtl w:val="0"/>
              </w:rPr>
            </w:r>
          </w:p>
        </w:tc>
        <w:tc>
          <w:tcPr>
            <w:tcMar>
              <w:top w:w="0.0" w:type="dxa"/>
              <w:bottom w:w="0.0" w:type="dxa"/>
            </w:tcMar>
          </w:tcPr>
          <w:p w:rsidR="00000000" w:rsidDel="00000000" w:rsidP="00000000" w:rsidRDefault="00000000" w:rsidRPr="00000000" w14:paraId="00000042">
            <w:pPr>
              <w:rPr/>
            </w:pPr>
            <w:hyperlink r:id="rId30">
              <w:r w:rsidDel="00000000" w:rsidR="00000000" w:rsidRPr="00000000">
                <w:rPr>
                  <w:rFonts w:ascii="Lato" w:cs="Lato" w:eastAsia="Lato" w:hAnsi="Lato"/>
                  <w:color w:val="0563c1"/>
                  <w:u w:val="single"/>
                  <w:rtl w:val="0"/>
                </w:rPr>
                <w:t xml:space="preserve">Physical Restraint and Seclusion of Students - Debriefing Meeting Document</w:t>
              </w:r>
            </w:hyperlink>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character" w:styleId="Hyperlink">
    <w:name w:val="Hyperlink"/>
    <w:basedOn w:val="DefaultParagraphFont"/>
    <w:uiPriority w:val="99"/>
    <w:semiHidden w:val="1"/>
    <w:unhideWhenUsed w:val="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imbli.eboardsolutions.com/Policy/ViewPolicy.aspx?S=36031104&amp;revid=eslshmwGPhLCUslshTEdzYzjXMPg==" TargetMode="External"/><Relationship Id="rId22" Type="http://schemas.openxmlformats.org/officeDocument/2006/relationships/hyperlink" Target="https://simbli.eboardsolutions.com/Policy/ViewPolicy.aspx?S=36031104&amp;revid=LtRnZOfVJPfTAfsvobfkaA==" TargetMode="External"/><Relationship Id="rId21" Type="http://schemas.openxmlformats.org/officeDocument/2006/relationships/hyperlink" Target="https://simbli.eboardsolutions.com/Policy/ViewPolicy.aspx?S=36031104&amp;revid=C4DakFIbOmb20pmNDPzwGw==" TargetMode="External"/><Relationship Id="rId24" Type="http://schemas.openxmlformats.org/officeDocument/2006/relationships/hyperlink" Target="https://simbli.eboardsolutions.com/Policy/ViewPolicy.aspx?S=36031104&amp;revid=yBXQerhMJJl52adod6Jm4g==" TargetMode="External"/><Relationship Id="rId23" Type="http://schemas.openxmlformats.org/officeDocument/2006/relationships/hyperlink" Target="https://simbli.eboardsolutions.com/Policy/ViewPolicy.aspx?S=36031104&amp;revid=Twt87EuGG49Baohysl79z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272a.pdf" TargetMode="External"/><Relationship Id="rId26" Type="http://schemas.openxmlformats.org/officeDocument/2006/relationships/hyperlink" Target="https://simbli.eboardsolutions.com/Policy/ViewPolicy.aspx?S=36031104&amp;revid=DR6KpBbhmHTxiaI0Jslsh7P9w==" TargetMode="External"/><Relationship Id="rId25" Type="http://schemas.openxmlformats.org/officeDocument/2006/relationships/hyperlink" Target="https://simbli.eboardsolutions.com/Policy/ViewPolicy.aspx?S=36031104&amp;revid=C61kplusO2IpTMxzae1OFOv1w==" TargetMode="External"/><Relationship Id="rId28" Type="http://schemas.openxmlformats.org/officeDocument/2006/relationships/hyperlink" Target="https://simbli.eboardsolutions.com/Policy/ViewPolicy.aspx?S=36031104&amp;revid=ToNype1ATlYGHcjUJ0b5Nw==" TargetMode="External"/><Relationship Id="rId27" Type="http://schemas.openxmlformats.org/officeDocument/2006/relationships/hyperlink" Target="https://simbli.eboardsolutions.com/Policy/ViewPolicy.aspx?S=36031104&amp;revid=weZiMr7P7D2NCscVoup3slshQ=="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simbli.eboardsolutions.com/Policy/ViewPolicy.aspx?S=36031104&amp;revid=1C3Hm0e4HDK4n6w7h0hGgA==" TargetMode="External"/><Relationship Id="rId7" Type="http://schemas.openxmlformats.org/officeDocument/2006/relationships/hyperlink" Target="https://www.legis.iowa.gov/docs/code/232.pdf" TargetMode="External"/><Relationship Id="rId8" Type="http://schemas.openxmlformats.org/officeDocument/2006/relationships/hyperlink" Target="https://www.legis.iowa.gov/docs/code/235a.pdf" TargetMode="External"/><Relationship Id="rId30" Type="http://schemas.openxmlformats.org/officeDocument/2006/relationships/hyperlink" Target="https://simbli.eboardsolutions.com/Policy/ViewPolicy.aspx?S=36031104&amp;revid=MTyU8MfIG6J1vqVh6FfCPA==" TargetMode="External"/><Relationship Id="rId11" Type="http://schemas.openxmlformats.org/officeDocument/2006/relationships/hyperlink" Target="https://www.legis.iowa.gov/docs/code/709.pdf" TargetMode="External"/><Relationship Id="rId10" Type="http://schemas.openxmlformats.org/officeDocument/2006/relationships/hyperlink" Target="https://www.legis.iowa.gov/docs/code/280.17.pdf" TargetMode="External"/><Relationship Id="rId13" Type="http://schemas.openxmlformats.org/officeDocument/2006/relationships/hyperlink" Target="https://www.legis.iowa.gov/docs/iac/chapter/281.102.pdf" TargetMode="External"/><Relationship Id="rId12" Type="http://schemas.openxmlformats.org/officeDocument/2006/relationships/hyperlink" Target="https://www.legis.iowa.gov/docs/code/728.12.pdf" TargetMode="External"/><Relationship Id="rId15" Type="http://schemas.openxmlformats.org/officeDocument/2006/relationships/hyperlink" Target="https://www.legis.iowa.gov/docs/iac/rule/281.12.3.pdf" TargetMode="External"/><Relationship Id="rId14" Type="http://schemas.openxmlformats.org/officeDocument/2006/relationships/hyperlink" Target="https://www.legis.iowa.gov/docs/iac/chapter/281.103.pdf" TargetMode="External"/><Relationship Id="rId17" Type="http://schemas.openxmlformats.org/officeDocument/2006/relationships/hyperlink" Target="https://www.legis.iowa.gov/docs/iac/chapter/441.175.pdf" TargetMode="External"/><Relationship Id="rId16" Type="http://schemas.openxmlformats.org/officeDocument/2006/relationships/hyperlink" Target="https://www.legis.iowa.gov/docs/iac/chapter/441.155.pdf" TargetMode="External"/><Relationship Id="rId19" Type="http://schemas.openxmlformats.org/officeDocument/2006/relationships/hyperlink" Target="https://simbli.eboardsolutions.com/Policy/ViewPolicy.aspx?S=36031104&amp;revid=8UvlqvgDOTAX5PNgA5d51A==" TargetMode="External"/><Relationship Id="rId18" Type="http://schemas.openxmlformats.org/officeDocument/2006/relationships/hyperlink" Target="https://simbli.eboardsolutions.com/Policy/ViewPolicy.aspx?S=36031104&amp;revid=ug1fdK0zf0AJ2vNvHoZ04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VtTNJ6YCiYPeegoGvlTLXc59wQ==">CgMxLjAyCGguZ2pkZ3hzOAByITFJOFJNXzhaeDNzQ1NZcUtYV1VvaVlnT045d0g2LVZ6Tg==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2023-12-13T17:13:00Z</dcterms:created>
  <dc:creator>Linda Heisdorffer</dc:creator>
</cp:coreProperties>
</file>